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9079D2" w14:textId="77777777" w:rsidR="00735C90" w:rsidRPr="00A10A80" w:rsidRDefault="00735C90" w:rsidP="00735C90">
      <w:pPr>
        <w:jc w:val="center"/>
        <w:rPr>
          <w:rFonts w:ascii="Times New Roman" w:hAnsi="Times New Roman" w:cs="Times New Roman"/>
          <w:b/>
          <w:bCs/>
        </w:rPr>
      </w:pPr>
      <w:r w:rsidRPr="00A10A80">
        <w:rPr>
          <w:rFonts w:ascii="Times New Roman" w:hAnsi="Times New Roman" w:cs="Times New Roman"/>
          <w:b/>
          <w:bCs/>
        </w:rPr>
        <w:t>СОГЛАШЕНИЕ</w:t>
      </w:r>
    </w:p>
    <w:p w14:paraId="749E58BC" w14:textId="77777777" w:rsidR="00735C90" w:rsidRPr="00A10A80" w:rsidRDefault="00735C90" w:rsidP="00735C90">
      <w:pPr>
        <w:jc w:val="center"/>
        <w:rPr>
          <w:rFonts w:ascii="Times New Roman" w:hAnsi="Times New Roman" w:cs="Times New Roman"/>
          <w:b/>
          <w:bCs/>
        </w:rPr>
      </w:pPr>
      <w:r w:rsidRPr="00A10A80">
        <w:rPr>
          <w:rFonts w:ascii="Times New Roman" w:hAnsi="Times New Roman" w:cs="Times New Roman"/>
          <w:b/>
          <w:bCs/>
        </w:rPr>
        <w:t>о применении Гарантии сделки</w:t>
      </w:r>
    </w:p>
    <w:p w14:paraId="79BF1044" w14:textId="77777777" w:rsidR="00735C90" w:rsidRPr="00A10A80" w:rsidRDefault="00735C90" w:rsidP="00735C90">
      <w:pPr>
        <w:jc w:val="both"/>
        <w:rPr>
          <w:rFonts w:ascii="Times New Roman" w:hAnsi="Times New Roman" w:cs="Times New Roman"/>
        </w:rPr>
      </w:pPr>
    </w:p>
    <w:p w14:paraId="31DFF72A"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1. Общие положения</w:t>
      </w:r>
    </w:p>
    <w:p w14:paraId="7819E6D6"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1.1. Настоящее Соглашение определяет условия применения Платформой Гарантия сделки в отношении договоров, заключаемых между Заказчиком и Исполнителем через интерфейс Платформы.</w:t>
      </w:r>
    </w:p>
    <w:p w14:paraId="14B9A51E"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 xml:space="preserve">1.2. Настоящее Соглашение является неотъемлемой частью Пользовательского соглашения Платформы и подлежит применению совместно с ним. </w:t>
      </w:r>
    </w:p>
    <w:p w14:paraId="31002FAA"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1.3. Гарантия сделки применяется исключительно при условии полного и надлежащего соблюдения Исполнителем порядка оформления, согласования, исполнения и закрытия сделки, установленного Пользовательским соглашением, правилами Платформы и интерфейсом соответствующей сделки.</w:t>
      </w:r>
    </w:p>
    <w:p w14:paraId="6F315656" w14:textId="77777777" w:rsidR="00735C90" w:rsidRPr="00A10A80" w:rsidRDefault="00735C90" w:rsidP="00735C90">
      <w:pPr>
        <w:jc w:val="both"/>
        <w:rPr>
          <w:rFonts w:ascii="Times New Roman" w:hAnsi="Times New Roman" w:cs="Times New Roman"/>
        </w:rPr>
      </w:pPr>
    </w:p>
    <w:p w14:paraId="52CA0951"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2. Условия предоставления гарантии сделки</w:t>
      </w:r>
    </w:p>
    <w:p w14:paraId="2BD44DCE"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2.1. Платформа предоставляет Гарантию сделки только в отношении сделок, которые одновременно соответствуют следующим условиям:</w:t>
      </w:r>
    </w:p>
    <w:p w14:paraId="0AB9A876"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2.1.1. сделка создана и ведётся исключительно через интерфейс сделки на Платформе;</w:t>
      </w:r>
    </w:p>
    <w:p w14:paraId="0F807B6E"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2.1.2. все существенные условия сделки, включая предмет, объём, стоимость, этапы, сроки и иные документы, относящиеся к сделке, согласованы и зафиксированы в интерфейсе Платформы;</w:t>
      </w:r>
    </w:p>
    <w:p w14:paraId="4F0BE627"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2.1.3. договор между Заказчиком и Исполнителем заключён по форме, предоставленной Платформой через интерфейс сделки, без изменений либо с изменениями, прямо допустимыми функционалом Платформы;</w:t>
      </w:r>
    </w:p>
    <w:p w14:paraId="1689530B"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2.1.4. расчёты по сделке производятся исключительно с использованием платёжных инструментов Платформы и в порядке, предусмотренном Пользовательским соглашением.</w:t>
      </w:r>
    </w:p>
    <w:p w14:paraId="2D437D8D" w14:textId="77777777" w:rsidR="00F54F6B" w:rsidRPr="00A10A80" w:rsidRDefault="00F54F6B" w:rsidP="00F54F6B">
      <w:pPr>
        <w:jc w:val="both"/>
        <w:rPr>
          <w:rFonts w:ascii="Times New Roman" w:hAnsi="Times New Roman" w:cs="Times New Roman"/>
        </w:rPr>
      </w:pPr>
      <w:r w:rsidRPr="00A10A80">
        <w:rPr>
          <w:rFonts w:ascii="Times New Roman" w:hAnsi="Times New Roman" w:cs="Times New Roman"/>
        </w:rPr>
        <w:t>2.1.5. Исполнитель зарегистрирован на Платформе в статусе индивидуального предпринимателя либо юридического лица и прошёл предусмотренную Платформой верификацию.</w:t>
      </w:r>
    </w:p>
    <w:p w14:paraId="113458AD" w14:textId="77777777" w:rsidR="00953640" w:rsidRPr="00A10A80" w:rsidRDefault="00F54F6B" w:rsidP="00F54F6B">
      <w:pPr>
        <w:jc w:val="both"/>
        <w:rPr>
          <w:rFonts w:ascii="Times New Roman" w:hAnsi="Times New Roman" w:cs="Times New Roman"/>
        </w:rPr>
      </w:pPr>
      <w:r w:rsidRPr="00A10A80">
        <w:rPr>
          <w:rFonts w:ascii="Times New Roman" w:hAnsi="Times New Roman" w:cs="Times New Roman"/>
        </w:rPr>
        <w:t>2.1.6. Гарантия сделки применяется для ремонтов с бюджетом от 500 000 (пятисот тысяч) рублей. Количество этапов определяется условиями сделки и фиксируется в интерфейсе Платформы.</w:t>
      </w:r>
    </w:p>
    <w:p w14:paraId="203A9F25" w14:textId="77777777" w:rsidR="00F54F6B" w:rsidRPr="00A10A80" w:rsidRDefault="00F54F6B" w:rsidP="00F54F6B">
      <w:pPr>
        <w:jc w:val="both"/>
        <w:rPr>
          <w:rFonts w:ascii="Times New Roman" w:hAnsi="Times New Roman" w:cs="Times New Roman"/>
        </w:rPr>
      </w:pPr>
      <w:r w:rsidRPr="00A10A80">
        <w:rPr>
          <w:rFonts w:ascii="Times New Roman" w:hAnsi="Times New Roman" w:cs="Times New Roman"/>
        </w:rPr>
        <w:t>2.1.7. Стоимость услуги «Гарантия сделки» рассчитывается по всей сделке и оплачивается Заказчиком одним платежом до начала работ: 5 000 (пять тысяч) рублей за каждый начатый миллион бюджета ремонта и 10 000 (десять тысяч) рублей за каждый Этап работ. При оплате Этапов банковская комиссия 0,8% оплачивается Заказчиком дополнительно сверх суммы соответствующего Этапа.</w:t>
      </w:r>
    </w:p>
    <w:p w14:paraId="03F80E0F" w14:textId="77777777" w:rsidR="00F54F6B" w:rsidRPr="00A10A80" w:rsidRDefault="00F54F6B" w:rsidP="00F54F6B">
      <w:pPr>
        <w:jc w:val="both"/>
        <w:rPr>
          <w:rFonts w:ascii="Times New Roman" w:hAnsi="Times New Roman" w:cs="Times New Roman"/>
        </w:rPr>
      </w:pPr>
      <w:r w:rsidRPr="00A10A80">
        <w:rPr>
          <w:rFonts w:ascii="Times New Roman" w:hAnsi="Times New Roman" w:cs="Times New Roman"/>
        </w:rPr>
        <w:t>2.1.8. Денежные средства по Этапам сделки резервируются на номинальном счёте АО «ТБанк» до момента подтверждения выполнения соответствующего Этапа либо наступления иных оснований, предусмотренных Пользовательским соглашением. После подтверждения выполнения Этапа Заказчиком Исполнителю перечисляется стоимость соответствующего Этапа работ полностью либо в подтверждённой бесспорной части.</w:t>
      </w:r>
    </w:p>
    <w:p w14:paraId="5E401117" w14:textId="77777777" w:rsidR="00F54F6B" w:rsidRPr="00A10A80" w:rsidRDefault="00F54F6B" w:rsidP="00F54F6B">
      <w:pPr>
        <w:jc w:val="both"/>
        <w:rPr>
          <w:rFonts w:ascii="Times New Roman" w:hAnsi="Times New Roman" w:cs="Times New Roman"/>
        </w:rPr>
      </w:pPr>
      <w:r w:rsidRPr="00A10A80">
        <w:rPr>
          <w:rFonts w:ascii="Times New Roman" w:hAnsi="Times New Roman" w:cs="Times New Roman"/>
        </w:rPr>
        <w:t>2.1.8.1. Если сторонами по конкретному Этапу работ заранее согласован авансовый платёж, такой аванс указывается в условиях сделки и / или договоре, размещённом в интерфейсе Платформы. Авансовый платёж не резервируется на номинальном счёте и перечисляется Заказчиком Исполнителю напрямую удобным для сторон способом. Факт передачи и получения аванса подлежит подтверждению обеими сторонами в интерфейсе сделки на Платформе.</w:t>
      </w:r>
    </w:p>
    <w:p w14:paraId="5ADC8FAC" w14:textId="77777777" w:rsidR="00FC0B28" w:rsidRPr="00A10A80" w:rsidRDefault="00000000">
      <w:pPr>
        <w:rPr>
          <w:rFonts w:ascii="Times New Roman" w:hAnsi="Times New Roman" w:cs="Times New Roman"/>
        </w:rPr>
      </w:pPr>
      <w:r w:rsidRPr="00A10A80">
        <w:rPr>
          <w:rFonts w:ascii="Times New Roman" w:hAnsi="Times New Roman" w:cs="Times New Roman"/>
        </w:rPr>
        <w:lastRenderedPageBreak/>
        <w:t>2.1.9. Один выезд независимого оценщика по одному Этапу предоставляется без дополнительной оплаты. Повторный выезд по тому же Этапу согласовывается дополнительно с администратором Платформы.</w:t>
      </w:r>
    </w:p>
    <w:p w14:paraId="5A809E09" w14:textId="77777777" w:rsidR="00735C90" w:rsidRPr="00A10A80" w:rsidRDefault="00735C90" w:rsidP="00735C90">
      <w:pPr>
        <w:jc w:val="both"/>
        <w:rPr>
          <w:rFonts w:ascii="Times New Roman" w:hAnsi="Times New Roman" w:cs="Times New Roman"/>
        </w:rPr>
      </w:pPr>
    </w:p>
    <w:p w14:paraId="133BB655"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3. Обязательность соблюдения порядка заключения сделки</w:t>
      </w:r>
    </w:p>
    <w:p w14:paraId="74CEA667"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3.1. Заказчик и Исполнитель подтверждают и соглашаются, что применение Гарантии сделки возможно только при строгом соблюдении порядка, установленного Пользовательским соглашением, в том числе положений о создании этапов, загрузке документов, подтверждении выполнения этапов, обмене сообщениями и совершении платежей через Платформу.</w:t>
      </w:r>
    </w:p>
    <w:p w14:paraId="36D2C138"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3.2. Любое отступление от установленного Платформой порядка, включая, но не ограничиваясь:</w:t>
      </w:r>
    </w:p>
    <w:p w14:paraId="4E4B484D"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а) заключением договора не по форме Платформы;</w:t>
      </w:r>
    </w:p>
    <w:p w14:paraId="39218C56"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б) использованием внешнего договора, сметы, технического задания или иных документов, не оформленных либо не загруженных через интерфейс сделки;</w:t>
      </w:r>
    </w:p>
    <w:p w14:paraId="57119B54"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в) несоответствием этапов условиям договора, размещённого в интерфейсе сделки;</w:t>
      </w:r>
    </w:p>
    <w:p w14:paraId="5980C86B"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г) исполнением, приёмкой либо оплатой работ вне интерфейса Платформы, за исключением авансового платежа, заранее согласованного сторонами и подтверждённого в интерфейсе сделки;</w:t>
      </w:r>
    </w:p>
    <w:p w14:paraId="3C95A815"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д) изменением условий сделки вне предусмотренного Платформой порядка,</w:t>
      </w:r>
    </w:p>
    <w:p w14:paraId="545E0718"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рассматривается как нарушение условий применения гарантии сделки.</w:t>
      </w:r>
    </w:p>
    <w:p w14:paraId="3642F8EA" w14:textId="77777777" w:rsidR="00735C90" w:rsidRPr="00A10A80" w:rsidRDefault="00735C90" w:rsidP="00735C90">
      <w:pPr>
        <w:jc w:val="both"/>
        <w:rPr>
          <w:rFonts w:ascii="Times New Roman" w:hAnsi="Times New Roman" w:cs="Times New Roman"/>
        </w:rPr>
      </w:pPr>
    </w:p>
    <w:p w14:paraId="4253F0A4"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4. Последствия нарушения условий гарантии сделки</w:t>
      </w:r>
    </w:p>
    <w:p w14:paraId="29438FEF"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4.1. В случае нарушения хотя бы одного из условий, указанных в разделах 2 и 3 настоящего Соглашения, Платформа вправе признать, что Гарантия сделки к соответствующему договору между Заказчиком и Исполнителем не применяется.</w:t>
      </w:r>
    </w:p>
    <w:p w14:paraId="1FF57AD3"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4.2. В случаях, предусмотренных п. 4.1 настоящего Соглашения, Платформа не гарантирует исполнение обязательств Заказчика и/или Исполнителя по такой сделке, не несёт ответственности за неисполнение или ненадлежащее исполнение обязательств сторонами сделки, а также вправе отказать в применении специальных процедур защиты, резервирования денежных средств, арбитража или иных мер, связанных с механизмом гарантии сделки, если иное прямо не предусмотрено Пользовательским соглашением.</w:t>
      </w:r>
    </w:p>
    <w:p w14:paraId="2775B091"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4.3. Платформа также не несёт ответственности за последствия использования сторонами сделки документов, составленных вне формы, предоставленной Платформой, включая возможные противоречия, несогласованность условий, отсутствие необходимых положений, а также невозможность надлежащего администрирования и сопровождения сделки средствами Платформы.</w:t>
      </w:r>
    </w:p>
    <w:p w14:paraId="69038231" w14:textId="77777777" w:rsidR="00735C90" w:rsidRPr="00A10A80" w:rsidRDefault="00735C90" w:rsidP="00735C90">
      <w:pPr>
        <w:jc w:val="both"/>
        <w:rPr>
          <w:rFonts w:ascii="Times New Roman" w:hAnsi="Times New Roman" w:cs="Times New Roman"/>
        </w:rPr>
      </w:pPr>
    </w:p>
    <w:p w14:paraId="46A671A2"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5. Подтверждение согласия сторон</w:t>
      </w:r>
    </w:p>
    <w:p w14:paraId="7A6239E7"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 xml:space="preserve">5.1. </w:t>
      </w:r>
      <w:r w:rsidR="00F54F6B" w:rsidRPr="00A10A80">
        <w:rPr>
          <w:rFonts w:ascii="Times New Roman" w:hAnsi="Times New Roman" w:cs="Times New Roman"/>
        </w:rPr>
        <w:t>Подтверждая применение Гарантии сделки в интерфейсе Платформы</w:t>
      </w:r>
      <w:r w:rsidRPr="00A10A80">
        <w:rPr>
          <w:rFonts w:ascii="Times New Roman" w:hAnsi="Times New Roman" w:cs="Times New Roman"/>
        </w:rPr>
        <w:t>, Заказчик подтверждает, что ознакомлен с настоящим Соглашением, Пользовательским соглашением и принимает на себя обязанность соблюдать установленный Платформой порядок оформления и исполнения сделки.</w:t>
      </w:r>
    </w:p>
    <w:p w14:paraId="25543BE5"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rPr>
        <w:t>5.2. Заказчик подтверждает, что ему (ей) разъяснено: при несоблюдении установленного порядка Платформа не может обеспечить надлежащее сопровождение сделки и, соответственно, не предоставляет гарантию исполнения обязательств по ней.</w:t>
      </w:r>
    </w:p>
    <w:p w14:paraId="2B8A861A" w14:textId="77777777" w:rsidR="00735C90" w:rsidRPr="00A10A80" w:rsidRDefault="00735C90" w:rsidP="00735C90">
      <w:pPr>
        <w:jc w:val="both"/>
        <w:rPr>
          <w:rFonts w:ascii="Times New Roman" w:hAnsi="Times New Roman" w:cs="Times New Roman"/>
        </w:rPr>
      </w:pPr>
    </w:p>
    <w:p w14:paraId="7C4758FA" w14:textId="77777777" w:rsidR="00735C90" w:rsidRPr="00A10A80" w:rsidRDefault="00735C90" w:rsidP="00735C90">
      <w:pPr>
        <w:pStyle w:val="1"/>
        <w:spacing w:before="0" w:after="0"/>
        <w:jc w:val="both"/>
        <w:rPr>
          <w:rFonts w:ascii="Times New Roman" w:hAnsi="Times New Roman" w:cs="Times New Roman"/>
          <w:sz w:val="24"/>
          <w:szCs w:val="24"/>
        </w:rPr>
      </w:pPr>
      <w:r w:rsidRPr="00A10A80">
        <w:rPr>
          <w:rFonts w:ascii="Times New Roman" w:hAnsi="Times New Roman" w:cs="Times New Roman"/>
          <w:sz w:val="24"/>
          <w:szCs w:val="24"/>
        </w:rPr>
        <w:lastRenderedPageBreak/>
        <w:t>Реквизиты Оператора</w:t>
      </w:r>
    </w:p>
    <w:p w14:paraId="582D5E3D" w14:textId="77777777" w:rsidR="00735C90" w:rsidRPr="00A10A80" w:rsidRDefault="00735C90" w:rsidP="00735C90">
      <w:pPr>
        <w:pStyle w:val="1"/>
        <w:spacing w:before="0" w:after="0"/>
        <w:jc w:val="both"/>
        <w:rPr>
          <w:rFonts w:ascii="Times New Roman" w:hAnsi="Times New Roman" w:cs="Times New Roman"/>
          <w:sz w:val="24"/>
          <w:szCs w:val="24"/>
        </w:rPr>
      </w:pPr>
    </w:p>
    <w:p w14:paraId="5F8527E5"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ООО «БАКЛЕР»</w:t>
      </w:r>
    </w:p>
    <w:p w14:paraId="12585EF3"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ОГРН: </w:t>
      </w:r>
      <w:r w:rsidRPr="00A10A80">
        <w:rPr>
          <w:rFonts w:ascii="Times New Roman" w:hAnsi="Times New Roman" w:cs="Times New Roman"/>
        </w:rPr>
        <w:t xml:space="preserve">1267700085036 </w:t>
      </w:r>
    </w:p>
    <w:p w14:paraId="633F5330"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ИНН: </w:t>
      </w:r>
      <w:r w:rsidRPr="00A10A80">
        <w:rPr>
          <w:rFonts w:ascii="Times New Roman" w:hAnsi="Times New Roman" w:cs="Times New Roman"/>
        </w:rPr>
        <w:t xml:space="preserve">7708459161 </w:t>
      </w:r>
    </w:p>
    <w:p w14:paraId="0F673A26"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КПП: </w:t>
      </w:r>
      <w:r w:rsidRPr="00A10A80">
        <w:rPr>
          <w:rFonts w:ascii="Times New Roman" w:hAnsi="Times New Roman" w:cs="Times New Roman"/>
        </w:rPr>
        <w:t>770801001</w:t>
      </w:r>
    </w:p>
    <w:p w14:paraId="062E71E4"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Юридический адрес: </w:t>
      </w:r>
      <w:r w:rsidRPr="00A10A80">
        <w:rPr>
          <w:rFonts w:ascii="Times New Roman" w:hAnsi="Times New Roman" w:cs="Times New Roman"/>
        </w:rPr>
        <w:t xml:space="preserve">107078, г. Москва, </w:t>
      </w:r>
      <w:proofErr w:type="spellStart"/>
      <w:r w:rsidRPr="00A10A80">
        <w:rPr>
          <w:rFonts w:ascii="Times New Roman" w:hAnsi="Times New Roman" w:cs="Times New Roman"/>
        </w:rPr>
        <w:t>вн.тер.г</w:t>
      </w:r>
      <w:proofErr w:type="spellEnd"/>
      <w:r w:rsidRPr="00A10A80">
        <w:rPr>
          <w:rFonts w:ascii="Times New Roman" w:hAnsi="Times New Roman" w:cs="Times New Roman"/>
        </w:rPr>
        <w:t xml:space="preserve">. Муниципальный Округ Красносельский, </w:t>
      </w:r>
      <w:proofErr w:type="spellStart"/>
      <w:r w:rsidRPr="00A10A80">
        <w:rPr>
          <w:rFonts w:ascii="Times New Roman" w:hAnsi="Times New Roman" w:cs="Times New Roman"/>
        </w:rPr>
        <w:t>ул</w:t>
      </w:r>
      <w:proofErr w:type="spellEnd"/>
      <w:r w:rsidRPr="00A10A80">
        <w:rPr>
          <w:rFonts w:ascii="Times New Roman" w:hAnsi="Times New Roman" w:cs="Times New Roman"/>
        </w:rPr>
        <w:t xml:space="preserve"> Садовая-Спасская, д. 13 стр. 2, </w:t>
      </w:r>
      <w:proofErr w:type="spellStart"/>
      <w:r w:rsidRPr="00A10A80">
        <w:rPr>
          <w:rFonts w:ascii="Times New Roman" w:hAnsi="Times New Roman" w:cs="Times New Roman"/>
        </w:rPr>
        <w:t>помещ</w:t>
      </w:r>
      <w:proofErr w:type="spellEnd"/>
      <w:r w:rsidRPr="00A10A80">
        <w:rPr>
          <w:rFonts w:ascii="Times New Roman" w:hAnsi="Times New Roman" w:cs="Times New Roman"/>
        </w:rPr>
        <w:t>. 1/2</w:t>
      </w:r>
    </w:p>
    <w:p w14:paraId="3ED3E024"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Расчётный счёт: </w:t>
      </w:r>
      <w:r w:rsidRPr="00A10A80">
        <w:rPr>
          <w:rFonts w:ascii="Times New Roman" w:hAnsi="Times New Roman" w:cs="Times New Roman"/>
          <w:szCs w:val="21"/>
          <w:shd w:val="clear" w:color="auto" w:fill="FFFFFF"/>
        </w:rPr>
        <w:t>40702810910002069494</w:t>
      </w:r>
    </w:p>
    <w:p w14:paraId="614A9447"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Банк: </w:t>
      </w:r>
      <w:r w:rsidRPr="00A10A80">
        <w:rPr>
          <w:rFonts w:ascii="Times New Roman" w:hAnsi="Times New Roman" w:cs="Times New Roman"/>
        </w:rPr>
        <w:t>АО «</w:t>
      </w:r>
      <w:proofErr w:type="spellStart"/>
      <w:r w:rsidRPr="00A10A80">
        <w:rPr>
          <w:rFonts w:ascii="Times New Roman" w:hAnsi="Times New Roman" w:cs="Times New Roman"/>
        </w:rPr>
        <w:t>ТБанк</w:t>
      </w:r>
      <w:proofErr w:type="spellEnd"/>
      <w:r w:rsidRPr="00A10A80">
        <w:rPr>
          <w:rFonts w:ascii="Times New Roman" w:hAnsi="Times New Roman" w:cs="Times New Roman"/>
        </w:rPr>
        <w:t>»</w:t>
      </w:r>
    </w:p>
    <w:p w14:paraId="05274169"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БИК: </w:t>
      </w:r>
      <w:r w:rsidRPr="00A10A80">
        <w:rPr>
          <w:rFonts w:ascii="Times New Roman" w:hAnsi="Times New Roman" w:cs="Times New Roman"/>
        </w:rPr>
        <w:t>044525974</w:t>
      </w:r>
    </w:p>
    <w:p w14:paraId="4E0515E9"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Корр. счёт: </w:t>
      </w:r>
      <w:r w:rsidRPr="00A10A80">
        <w:rPr>
          <w:rFonts w:ascii="Times New Roman" w:hAnsi="Times New Roman" w:cs="Times New Roman"/>
        </w:rPr>
        <w:t>30101810145250000974</w:t>
      </w:r>
    </w:p>
    <w:p w14:paraId="34267166" w14:textId="77777777" w:rsidR="00735C90" w:rsidRPr="00A10A80" w:rsidRDefault="00735C90" w:rsidP="00735C90">
      <w:pPr>
        <w:jc w:val="both"/>
        <w:rPr>
          <w:rFonts w:ascii="Times New Roman" w:hAnsi="Times New Roman" w:cs="Times New Roman"/>
        </w:rPr>
      </w:pPr>
      <w:r w:rsidRPr="00A10A80">
        <w:rPr>
          <w:rFonts w:ascii="Times New Roman" w:hAnsi="Times New Roman" w:cs="Times New Roman"/>
          <w:b/>
          <w:bCs/>
        </w:rPr>
        <w:t xml:space="preserve">Электронная почта: </w:t>
      </w:r>
      <w:r w:rsidRPr="00A10A80">
        <w:rPr>
          <w:rFonts w:ascii="Times New Roman" w:hAnsi="Times New Roman" w:cs="Times New Roman"/>
        </w:rPr>
        <w:t>support@buckler-garant.ru</w:t>
      </w:r>
    </w:p>
    <w:p w14:paraId="41D92328" w14:textId="77777777" w:rsidR="00735C90" w:rsidRPr="00A10A80" w:rsidRDefault="00735C90" w:rsidP="00BE7FEA">
      <w:pPr>
        <w:jc w:val="both"/>
        <w:rPr>
          <w:rFonts w:ascii="Times New Roman" w:hAnsi="Times New Roman" w:cs="Times New Roman"/>
        </w:rPr>
      </w:pPr>
      <w:r w:rsidRPr="00A10A80">
        <w:rPr>
          <w:rFonts w:ascii="Times New Roman" w:hAnsi="Times New Roman" w:cs="Times New Roman"/>
          <w:b/>
          <w:bCs/>
        </w:rPr>
        <w:t xml:space="preserve">Сайт: </w:t>
      </w:r>
      <w:r w:rsidRPr="00A10A80">
        <w:rPr>
          <w:rFonts w:ascii="Times New Roman" w:hAnsi="Times New Roman" w:cs="Times New Roman"/>
        </w:rPr>
        <w:t>https://www.buckler-garant.ru/</w:t>
      </w:r>
    </w:p>
    <w:p w14:paraId="42268BD9" w14:textId="77777777" w:rsidR="00FC0B28" w:rsidRDefault="00FC0B28"/>
    <w:sectPr w:rsidR="00FC0B2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BF194F" w14:textId="77777777" w:rsidR="00B40467" w:rsidRDefault="00B40467">
      <w:r>
        <w:separator/>
      </w:r>
    </w:p>
  </w:endnote>
  <w:endnote w:type="continuationSeparator" w:id="0">
    <w:p w14:paraId="1A64AF7F" w14:textId="77777777" w:rsidR="00B40467" w:rsidRDefault="00B4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9449FA" w14:textId="77777777" w:rsidR="00FC0B28" w:rsidRDefault="00FC0B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BD9C48" w14:textId="77777777" w:rsidR="00B40467" w:rsidRDefault="00B40467">
      <w:r>
        <w:separator/>
      </w:r>
    </w:p>
  </w:footnote>
  <w:footnote w:type="continuationSeparator" w:id="0">
    <w:p w14:paraId="0441694C" w14:textId="77777777" w:rsidR="00B40467" w:rsidRDefault="00B40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26C5E1" w14:textId="77777777" w:rsidR="00FC0B28" w:rsidRDefault="00FC0B28"/>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90"/>
    <w:rsid w:val="00300084"/>
    <w:rsid w:val="003F576E"/>
    <w:rsid w:val="00581155"/>
    <w:rsid w:val="006A60DF"/>
    <w:rsid w:val="00735C90"/>
    <w:rsid w:val="007561AB"/>
    <w:rsid w:val="00914D98"/>
    <w:rsid w:val="00953640"/>
    <w:rsid w:val="00A10A80"/>
    <w:rsid w:val="00B40467"/>
    <w:rsid w:val="00BE7FEA"/>
    <w:rsid w:val="00F54F6B"/>
    <w:rsid w:val="00FC0B28"/>
  </w:rsids>
  <m:mathPr>
    <m:mathFont m:val="Cambria Math"/>
    <m:brkBin m:val="before"/>
    <m:brkBinSub m:val="--"/>
    <m:smallFrac m:val="0"/>
    <m:dispDef/>
    <m:lMargin m:val="0"/>
    <m:rMargin m:val="0"/>
    <m:defJc m:val="centerGroup"/>
    <m:wrapIndent m:val="1440"/>
    <m:intLim m:val="subSup"/>
    <m:naryLim m:val="undOvr"/>
  </m:mathPr>
  <w:themeFontLang w:val="ru-AE"/>
  <w:clrSchemeMapping w:bg1="light1" w:t1="dark1" w:bg2="light2" w:t2="dark2" w:accent1="accent1" w:accent2="accent2" w:accent3="accent3" w:accent4="accent4" w:accent5="accent5" w:accent6="accent6" w:hyperlink="hyperlink" w:followedHyperlink="followedHyperlink"/>
  <w:decimalSymbol w:val="."/>
  <w:listSeparator w:val=";"/>
  <w14:docId w14:val="6E6C92AE"/>
  <w15:chartTrackingRefBased/>
  <w15:docId w15:val="{BE458663-1E09-0A49-ADD7-9B23E1B7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A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C90"/>
    <w:pPr>
      <w:spacing w:after="0" w:line="240" w:lineRule="auto"/>
    </w:pPr>
    <w:rPr>
      <w:rFonts w:ascii="Calibri" w:eastAsia="Calibri" w:hAnsi="Calibri" w:cs="Calibri"/>
      <w:kern w:val="0"/>
      <w:lang w:val="ru-RU" w:eastAsia="ru-RU"/>
      <w14:ligatures w14:val="none"/>
    </w:rPr>
  </w:style>
  <w:style w:type="paragraph" w:styleId="1">
    <w:name w:val="heading 1"/>
    <w:basedOn w:val="a"/>
    <w:next w:val="a"/>
    <w:link w:val="10"/>
    <w:uiPriority w:val="9"/>
    <w:qFormat/>
    <w:rsid w:val="00735C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AE" w:eastAsia="en-US"/>
      <w14:ligatures w14:val="standardContextual"/>
    </w:rPr>
  </w:style>
  <w:style w:type="paragraph" w:styleId="2">
    <w:name w:val="heading 2"/>
    <w:basedOn w:val="a"/>
    <w:next w:val="a"/>
    <w:link w:val="20"/>
    <w:uiPriority w:val="9"/>
    <w:semiHidden/>
    <w:unhideWhenUsed/>
    <w:qFormat/>
    <w:rsid w:val="00735C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AE" w:eastAsia="en-US"/>
      <w14:ligatures w14:val="standardContextual"/>
    </w:rPr>
  </w:style>
  <w:style w:type="paragraph" w:styleId="3">
    <w:name w:val="heading 3"/>
    <w:basedOn w:val="a"/>
    <w:next w:val="a"/>
    <w:link w:val="30"/>
    <w:uiPriority w:val="9"/>
    <w:semiHidden/>
    <w:unhideWhenUsed/>
    <w:qFormat/>
    <w:rsid w:val="00735C9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AE" w:eastAsia="en-US"/>
      <w14:ligatures w14:val="standardContextual"/>
    </w:rPr>
  </w:style>
  <w:style w:type="paragraph" w:styleId="4">
    <w:name w:val="heading 4"/>
    <w:basedOn w:val="a"/>
    <w:next w:val="a"/>
    <w:link w:val="40"/>
    <w:uiPriority w:val="9"/>
    <w:semiHidden/>
    <w:unhideWhenUsed/>
    <w:qFormat/>
    <w:rsid w:val="00735C9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ru-AE" w:eastAsia="en-US"/>
      <w14:ligatures w14:val="standardContextual"/>
    </w:rPr>
  </w:style>
  <w:style w:type="paragraph" w:styleId="5">
    <w:name w:val="heading 5"/>
    <w:basedOn w:val="a"/>
    <w:next w:val="a"/>
    <w:link w:val="50"/>
    <w:uiPriority w:val="9"/>
    <w:semiHidden/>
    <w:unhideWhenUsed/>
    <w:qFormat/>
    <w:rsid w:val="00735C90"/>
    <w:pPr>
      <w:keepNext/>
      <w:keepLines/>
      <w:spacing w:before="80" w:after="40" w:line="278" w:lineRule="auto"/>
      <w:outlineLvl w:val="4"/>
    </w:pPr>
    <w:rPr>
      <w:rFonts w:asciiTheme="minorHAnsi" w:eastAsiaTheme="majorEastAsia" w:hAnsiTheme="minorHAnsi" w:cstheme="majorBidi"/>
      <w:color w:val="0F4761" w:themeColor="accent1" w:themeShade="BF"/>
      <w:kern w:val="2"/>
      <w:lang w:val="ru-AE" w:eastAsia="en-US"/>
      <w14:ligatures w14:val="standardContextual"/>
    </w:rPr>
  </w:style>
  <w:style w:type="paragraph" w:styleId="6">
    <w:name w:val="heading 6"/>
    <w:basedOn w:val="a"/>
    <w:next w:val="a"/>
    <w:link w:val="60"/>
    <w:uiPriority w:val="9"/>
    <w:semiHidden/>
    <w:unhideWhenUsed/>
    <w:qFormat/>
    <w:rsid w:val="00735C90"/>
    <w:pPr>
      <w:keepNext/>
      <w:keepLines/>
      <w:spacing w:before="40" w:line="278" w:lineRule="auto"/>
      <w:outlineLvl w:val="5"/>
    </w:pPr>
    <w:rPr>
      <w:rFonts w:asciiTheme="minorHAnsi" w:eastAsiaTheme="majorEastAsia" w:hAnsiTheme="minorHAnsi" w:cstheme="majorBidi"/>
      <w:i/>
      <w:iCs/>
      <w:color w:val="595959" w:themeColor="text1" w:themeTint="A6"/>
      <w:kern w:val="2"/>
      <w:lang w:val="ru-AE" w:eastAsia="en-US"/>
      <w14:ligatures w14:val="standardContextual"/>
    </w:rPr>
  </w:style>
  <w:style w:type="paragraph" w:styleId="7">
    <w:name w:val="heading 7"/>
    <w:basedOn w:val="a"/>
    <w:next w:val="a"/>
    <w:link w:val="70"/>
    <w:uiPriority w:val="9"/>
    <w:semiHidden/>
    <w:unhideWhenUsed/>
    <w:qFormat/>
    <w:rsid w:val="00735C90"/>
    <w:pPr>
      <w:keepNext/>
      <w:keepLines/>
      <w:spacing w:before="40" w:line="278" w:lineRule="auto"/>
      <w:outlineLvl w:val="6"/>
    </w:pPr>
    <w:rPr>
      <w:rFonts w:asciiTheme="minorHAnsi" w:eastAsiaTheme="majorEastAsia" w:hAnsiTheme="minorHAnsi" w:cstheme="majorBidi"/>
      <w:color w:val="595959" w:themeColor="text1" w:themeTint="A6"/>
      <w:kern w:val="2"/>
      <w:lang w:val="ru-AE" w:eastAsia="en-US"/>
      <w14:ligatures w14:val="standardContextual"/>
    </w:rPr>
  </w:style>
  <w:style w:type="paragraph" w:styleId="8">
    <w:name w:val="heading 8"/>
    <w:basedOn w:val="a"/>
    <w:next w:val="a"/>
    <w:link w:val="80"/>
    <w:uiPriority w:val="9"/>
    <w:semiHidden/>
    <w:unhideWhenUsed/>
    <w:qFormat/>
    <w:rsid w:val="00735C90"/>
    <w:pPr>
      <w:keepNext/>
      <w:keepLines/>
      <w:spacing w:line="278" w:lineRule="auto"/>
      <w:outlineLvl w:val="7"/>
    </w:pPr>
    <w:rPr>
      <w:rFonts w:asciiTheme="minorHAnsi" w:eastAsiaTheme="majorEastAsia" w:hAnsiTheme="minorHAnsi" w:cstheme="majorBidi"/>
      <w:i/>
      <w:iCs/>
      <w:color w:val="272727" w:themeColor="text1" w:themeTint="D8"/>
      <w:kern w:val="2"/>
      <w:lang w:val="ru-AE" w:eastAsia="en-US"/>
      <w14:ligatures w14:val="standardContextual"/>
    </w:rPr>
  </w:style>
  <w:style w:type="paragraph" w:styleId="9">
    <w:name w:val="heading 9"/>
    <w:basedOn w:val="a"/>
    <w:next w:val="a"/>
    <w:link w:val="90"/>
    <w:uiPriority w:val="9"/>
    <w:semiHidden/>
    <w:unhideWhenUsed/>
    <w:qFormat/>
    <w:rsid w:val="00735C90"/>
    <w:pPr>
      <w:keepNext/>
      <w:keepLines/>
      <w:spacing w:line="278" w:lineRule="auto"/>
      <w:outlineLvl w:val="8"/>
    </w:pPr>
    <w:rPr>
      <w:rFonts w:asciiTheme="minorHAnsi" w:eastAsiaTheme="majorEastAsia" w:hAnsiTheme="minorHAnsi" w:cstheme="majorBidi"/>
      <w:color w:val="272727" w:themeColor="text1" w:themeTint="D8"/>
      <w:kern w:val="2"/>
      <w:lang w:val="ru-AE"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C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35C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35C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35C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35C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35C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5C90"/>
    <w:rPr>
      <w:rFonts w:eastAsiaTheme="majorEastAsia" w:cstheme="majorBidi"/>
      <w:color w:val="595959" w:themeColor="text1" w:themeTint="A6"/>
    </w:rPr>
  </w:style>
  <w:style w:type="character" w:customStyle="1" w:styleId="80">
    <w:name w:val="Заголовок 8 Знак"/>
    <w:basedOn w:val="a0"/>
    <w:link w:val="8"/>
    <w:uiPriority w:val="9"/>
    <w:semiHidden/>
    <w:rsid w:val="00735C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5C90"/>
    <w:rPr>
      <w:rFonts w:eastAsiaTheme="majorEastAsia" w:cstheme="majorBidi"/>
      <w:color w:val="272727" w:themeColor="text1" w:themeTint="D8"/>
    </w:rPr>
  </w:style>
  <w:style w:type="paragraph" w:styleId="a3">
    <w:name w:val="Title"/>
    <w:basedOn w:val="a"/>
    <w:next w:val="a"/>
    <w:link w:val="a4"/>
    <w:uiPriority w:val="10"/>
    <w:qFormat/>
    <w:rsid w:val="00735C90"/>
    <w:pPr>
      <w:spacing w:after="80"/>
      <w:contextualSpacing/>
    </w:pPr>
    <w:rPr>
      <w:rFonts w:asciiTheme="majorHAnsi" w:eastAsiaTheme="majorEastAsia" w:hAnsiTheme="majorHAnsi" w:cstheme="majorBidi"/>
      <w:spacing w:val="-10"/>
      <w:kern w:val="28"/>
      <w:sz w:val="56"/>
      <w:szCs w:val="56"/>
      <w:lang w:val="ru-AE" w:eastAsia="en-US"/>
      <w14:ligatures w14:val="standardContextual"/>
    </w:rPr>
  </w:style>
  <w:style w:type="character" w:customStyle="1" w:styleId="a4">
    <w:name w:val="Заголовок Знак"/>
    <w:basedOn w:val="a0"/>
    <w:link w:val="a3"/>
    <w:uiPriority w:val="10"/>
    <w:rsid w:val="00735C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C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AE" w:eastAsia="en-US"/>
      <w14:ligatures w14:val="standardContextual"/>
    </w:rPr>
  </w:style>
  <w:style w:type="character" w:customStyle="1" w:styleId="a6">
    <w:name w:val="Подзаголовок Знак"/>
    <w:basedOn w:val="a0"/>
    <w:link w:val="a5"/>
    <w:uiPriority w:val="11"/>
    <w:rsid w:val="00735C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5C90"/>
    <w:pPr>
      <w:spacing w:before="160" w:after="160" w:line="278" w:lineRule="auto"/>
      <w:jc w:val="center"/>
    </w:pPr>
    <w:rPr>
      <w:rFonts w:asciiTheme="minorHAnsi" w:eastAsiaTheme="minorHAnsi" w:hAnsiTheme="minorHAnsi" w:cstheme="minorBidi"/>
      <w:i/>
      <w:iCs/>
      <w:color w:val="404040" w:themeColor="text1" w:themeTint="BF"/>
      <w:kern w:val="2"/>
      <w:lang w:val="ru-AE" w:eastAsia="en-US"/>
      <w14:ligatures w14:val="standardContextual"/>
    </w:rPr>
  </w:style>
  <w:style w:type="character" w:customStyle="1" w:styleId="22">
    <w:name w:val="Цитата 2 Знак"/>
    <w:basedOn w:val="a0"/>
    <w:link w:val="21"/>
    <w:uiPriority w:val="29"/>
    <w:rsid w:val="00735C90"/>
    <w:rPr>
      <w:i/>
      <w:iCs/>
      <w:color w:val="404040" w:themeColor="text1" w:themeTint="BF"/>
    </w:rPr>
  </w:style>
  <w:style w:type="paragraph" w:styleId="a7">
    <w:name w:val="List Paragraph"/>
    <w:basedOn w:val="a"/>
    <w:uiPriority w:val="34"/>
    <w:qFormat/>
    <w:rsid w:val="00735C90"/>
    <w:pPr>
      <w:spacing w:after="160" w:line="278" w:lineRule="auto"/>
      <w:ind w:left="720"/>
      <w:contextualSpacing/>
    </w:pPr>
    <w:rPr>
      <w:rFonts w:asciiTheme="minorHAnsi" w:eastAsiaTheme="minorHAnsi" w:hAnsiTheme="minorHAnsi" w:cstheme="minorBidi"/>
      <w:kern w:val="2"/>
      <w:lang w:val="ru-AE" w:eastAsia="en-US"/>
      <w14:ligatures w14:val="standardContextual"/>
    </w:rPr>
  </w:style>
  <w:style w:type="character" w:styleId="a8">
    <w:name w:val="Intense Emphasis"/>
    <w:basedOn w:val="a0"/>
    <w:uiPriority w:val="21"/>
    <w:qFormat/>
    <w:rsid w:val="00735C90"/>
    <w:rPr>
      <w:i/>
      <w:iCs/>
      <w:color w:val="0F4761" w:themeColor="accent1" w:themeShade="BF"/>
    </w:rPr>
  </w:style>
  <w:style w:type="paragraph" w:styleId="a9">
    <w:name w:val="Intense Quote"/>
    <w:basedOn w:val="a"/>
    <w:next w:val="a"/>
    <w:link w:val="aa"/>
    <w:uiPriority w:val="30"/>
    <w:qFormat/>
    <w:rsid w:val="00735C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ru-AE" w:eastAsia="en-US"/>
      <w14:ligatures w14:val="standardContextual"/>
    </w:rPr>
  </w:style>
  <w:style w:type="character" w:customStyle="1" w:styleId="aa">
    <w:name w:val="Выделенная цитата Знак"/>
    <w:basedOn w:val="a0"/>
    <w:link w:val="a9"/>
    <w:uiPriority w:val="30"/>
    <w:rsid w:val="00735C90"/>
    <w:rPr>
      <w:i/>
      <w:iCs/>
      <w:color w:val="0F4761" w:themeColor="accent1" w:themeShade="BF"/>
    </w:rPr>
  </w:style>
  <w:style w:type="character" w:styleId="ab">
    <w:name w:val="Intense Reference"/>
    <w:basedOn w:val="a0"/>
    <w:uiPriority w:val="32"/>
    <w:qFormat/>
    <w:rsid w:val="00735C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932</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Глеб Андрюшков</dc:creator>
  <cp:keywords/>
  <dc:description/>
  <cp:lastModifiedBy>Глеб Андрюшков</cp:lastModifiedBy>
  <cp:revision>3</cp:revision>
  <dcterms:created xsi:type="dcterms:W3CDTF">2026-05-29T14:09:00Z</dcterms:created>
  <dcterms:modified xsi:type="dcterms:W3CDTF">2026-07-09T10:07:00Z</dcterms:modified>
</cp:coreProperties>
</file>